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MODELLO TRACCIABILITÀ FLUSSI FINANZIARI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(art. 7, comma 1, lettera a, del D.L. 12/11/2010 n. 187)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Al Dirigente del Servizio Amministrativo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OGGETTO: Comunicazione C.C. dedicato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Comunicazione resa ai sensi dell’art. 3, comma 7, Legge 13/08/2010, n. 136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C.F………………………………………………………………… P.IVA:………………………………………………………………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relazione ai lavori/forniture effettuate per l’istituto in epigrafe,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 gli anni </w:t>
      </w:r>
      <w:r w:rsidDel="00000000" w:rsidR="00000000" w:rsidRPr="00000000">
        <w:rPr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proprio conto corrente dedicato a commesse pubbliche, per gli adempimenti relativi alla tracciabilità dei flussi finanziari ex legge n. 136/2010 s.m.i. è il seguente: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Istituto Bancario:……………………....................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Agenzia………………………………. di:…………………………………………………………………………..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IBAN……………………………………………………………………………………..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identificativi dei soggetti (persone fisiche) delegati ad operare sul conto corrente dedicato sono: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Sig………….………………………………..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successive variazioni saranno comunicate entro 4 giorni alla Stazione Appaltante con le stesse modalità.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 sulle sanzioni penali per dichiarazioni mendaci, falsità negli atti e uso di atti falsi, previste dall’art. 76 del D.P.R. n. 445/2000.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informato, a norma dell’art. 13 del D.Lgs. n.196/2003, che i dati personali saranno trattati, anche con strumenti informatici, esclusivamente nell’ambito del procedimento per il quale la presente dichiarazione è presentata.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(Luogo e data) </w:t>
        <w:tab/>
        <w:tab/>
        <w:tab/>
        <w:tab/>
        <w:t xml:space="preserve">TIMBRO E FIRMA (leggibile) DEL RAPPRESENTANTE LEGALE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